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7B" w:rsidRDefault="0024027B" w:rsidP="0024027B">
      <w:pPr>
        <w:ind w:firstLine="705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Заслушав и обсудив доклад и выступления по вопросу «О реализации образовательными учреждениями мер адресной профилактики преступлений и правонарушений несовершеннолетних в рамках исполнения Федерального закона от 24 июня 1999 года № 120-ФЗ «Об основах системы профилактики безнадзорности и правонарушений несовершеннолетних» и Комплексного плана противодействия идеологии терроризма в Российской Федерации на 2024-2028 годы», </w:t>
      </w:r>
      <w:r>
        <w:rPr>
          <w:rFonts w:eastAsiaTheme="minorHAnsi"/>
          <w:b/>
          <w:lang w:eastAsia="en-US"/>
        </w:rPr>
        <w:t>коллегия управления общего образования администрации Ртищевского муниципального района РЕШИЛА:</w:t>
      </w:r>
    </w:p>
    <w:p w:rsidR="0024027B" w:rsidRDefault="0024027B" w:rsidP="0024027B">
      <w:pPr>
        <w:ind w:firstLine="705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24027B" w:rsidRDefault="0024027B" w:rsidP="0024027B">
      <w:pPr>
        <w:ind w:firstLine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1.Считать работу по профилактике преступлений и правонарушений несовершеннолетних и противодействия идеологии терроризма в системе образования одним из приоритетных направлений деятельности управления общего образования администрации Ртищевского муниципального района Саратовской области.</w:t>
      </w:r>
    </w:p>
    <w:p w:rsidR="0024027B" w:rsidRDefault="0024027B" w:rsidP="0024027B">
      <w:pPr>
        <w:ind w:firstLine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2.Управлению общего образования администрации Ртищевского муниципального района Саратовской области в целях выявления обучающихся, склонных к деструктивному поведению, обеспечить организацию мероприятий ранней профилактики:</w:t>
      </w:r>
    </w:p>
    <w:p w:rsidR="0024027B" w:rsidRDefault="0024027B" w:rsidP="0024027B">
      <w:pPr>
        <w:ind w:firstLine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2.1.Осуществлять мониторинг эффективности проведения профилактической работы с обучающимися. При проведении мониторинга особое внимание уделять эффективности мер: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-по адресной профилактической работе с обучающимися;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-100% охвату обучающихся, состоящих на различных видах учета в органах и учреждениях системы профилактики, организованными формами занятости;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-информированию обучающихся об ответственности за совершение преступлений и правонарушений;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-профилактике деструктивных общественно опасных действий обучающихся;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-реализации задач в сфере воспитания обучающихся, установленных </w:t>
      </w:r>
    </w:p>
    <w:p w:rsidR="0024027B" w:rsidRDefault="0024027B" w:rsidP="0024027B">
      <w:pPr>
        <w:jc w:val="both"/>
        <w:rPr>
          <w:rFonts w:eastAsiaTheme="minorHAnsi"/>
          <w:lang w:eastAsia="en-US"/>
        </w:rPr>
      </w:pPr>
    </w:p>
    <w:p w:rsidR="0024027B" w:rsidRDefault="0024027B" w:rsidP="0024027B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МКУ «МЦОКО» Ртищевского района Саратовской области </w:t>
      </w:r>
    </w:p>
    <w:p w:rsidR="0024027B" w:rsidRDefault="0024027B" w:rsidP="0024027B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-во взаимодействии с управлением развития профессионального образования и организационной работы министерства образования области обеспечить обучение педагогических работников по вопросам противодействия идеологии терроризма;</w:t>
      </w:r>
    </w:p>
    <w:p w:rsidR="0024027B" w:rsidRDefault="0024027B" w:rsidP="0024027B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-обеспечить проведение методических семинаров по вопросам интерпретации и дальнейшего использования результатов социально-психологического тестирования обучающихся в общеобразовательных </w:t>
      </w:r>
      <w:proofErr w:type="gramStart"/>
      <w:r>
        <w:rPr>
          <w:rFonts w:eastAsiaTheme="minorHAnsi"/>
          <w:lang w:eastAsia="en-US"/>
        </w:rPr>
        <w:t>организациях.;</w:t>
      </w:r>
      <w:proofErr w:type="gramEnd"/>
    </w:p>
    <w:p w:rsidR="0024027B" w:rsidRDefault="0024027B" w:rsidP="0024027B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-организовать проведение анализа лучших практик по организации работы в рамках профилактики преступлений и правонарушений несовершеннолетних и противодействия идеологии терроризма в образовательной среде на муниципальном уровне.</w:t>
      </w:r>
    </w:p>
    <w:p w:rsidR="0024027B" w:rsidRDefault="0024027B" w:rsidP="0024027B">
      <w:pPr>
        <w:spacing w:after="160" w:line="25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4.Образовательным учреждениям Ртищевского района:</w:t>
      </w: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4.1Обеспечить своевременное исполнение требований следующих документов по вопросам профилактики преступлений и правонарушений несовершеннолетних и противодействию идеологии терроризма: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-Региональная программа Саратовской области «обеспечение общественного порядка и противодействие преступности» (постановление Правительства Саратовской области от 12 марта 2024 г. № 180-П);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-Региональная программа по сокращению младенческой и детской смертности от внешних причин, в том числе детей из семей, находящихся в социально опасном положении, от дорожно-транспортных происшествий, пожаров, </w:t>
      </w:r>
      <w:r>
        <w:rPr>
          <w:rFonts w:eastAsiaTheme="minorHAnsi"/>
          <w:lang w:eastAsia="en-US"/>
        </w:rPr>
        <w:lastRenderedPageBreak/>
        <w:t>стихийных бедствий, происшествий на воде, суицидов на 2024-2026 годы (постановление Правительства Саратовской области от 26 июня 2024 г. № 542-П);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-Программа (дорожная карта) психолого-педагогического сопровождения образовательного процесса, направленного на профилактику суицидального поведения обучающихся «Я выбираю жизнь!» (постановление Правительства Саратовской области от 14 марта 2023 г. № 191-П);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-Комплексный план противодействия идеологии терроризма в Российской Федерации на 2024-2028 годы на территории Саратовской области (распоряжение Губернатора Саратовской области от 27 марта 2024 г. № 272-р);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-Порядок межведомственного взаимодействия по профилактике деструктивного, в том числе суицидального, поведения несовершеннолетних (постановление межведомственной комиссии по делам несовершеннолетних и защите их прав Саратовской области от 24 марта 2023 г. № 2/1);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-Порядок взаимодействия органов и учреждений системы профилактики безнадзорности и правонарушений несовершеннолетних по организации работы с семьями СОП и несовершеннолетними, нуждающимися в ИПР, на территории Саратовской области (постановление межведомственной комиссии по делам несовершеннолетних и защите их прав Саратовской области от 25 марта 2022 г.           № 2/2);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-Примерное положение об учете несовершеннолетних обучающихся в образовательных организациях Саратовской области (постановление межведомственной комиссии по делам несовершеннолетних и защите их прав Саратовской области от 27 февраля 2024 г. № 1/2);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-Приказ министерства образования Саратовской области от 13 мая 2024 н. № 717 «Об организации работы по исполнению Комплексного плана противодействия идеологии терроризма в Российской Федерации на 2024-2028 годы».</w:t>
      </w:r>
    </w:p>
    <w:p w:rsidR="0024027B" w:rsidRDefault="0024027B" w:rsidP="0024027B">
      <w:pPr>
        <w:spacing w:after="160" w:line="256" w:lineRule="auto"/>
        <w:ind w:left="720" w:firstLine="696"/>
        <w:contextualSpacing/>
        <w:jc w:val="both"/>
        <w:rPr>
          <w:rFonts w:eastAsiaTheme="minorHAnsi"/>
          <w:lang w:eastAsia="en-US"/>
        </w:rPr>
      </w:pPr>
    </w:p>
    <w:p w:rsidR="0024027B" w:rsidRDefault="0024027B" w:rsidP="0024027B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4.2.Обеспечить адресный подход профилактической работы в отношении:</w:t>
      </w:r>
    </w:p>
    <w:p w:rsidR="0024027B" w:rsidRDefault="0024027B" w:rsidP="0024027B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-обучающихся, состоящих на различных видах учета в органах и учреждениях системы профилактики, в том числе 100% -й охват данной категории обучающихся системными формами занятости;</w:t>
      </w:r>
    </w:p>
    <w:p w:rsidR="0024027B" w:rsidRDefault="0024027B" w:rsidP="0024027B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-обучающихся, вошедших в группы риска по итогам социально-психологического тестирования.</w:t>
      </w: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4.3.Провести работу по реализации максимального охвата в каникулярный период несовершеннолетних обучающихся различными формами досуговой деятельности, а также формами организованной занятости, включая их временное трудоустройство, в том числе посредством привлечения к решению данных вопросов родительской общественности.</w:t>
      </w: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 Внести корректировки мероприятий в программы воспитательной работы МОУ «СОШ № 1 города Ртищево Саратовской области», МОУ «СОШ № 4 города Ртищево Саратовской области» (в срок до 24.01.2025 года).</w:t>
      </w: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4.5. Организовать проведение спортивных мероприятий с участием представителей </w:t>
      </w:r>
      <w:proofErr w:type="spellStart"/>
      <w:r>
        <w:rPr>
          <w:rFonts w:eastAsiaTheme="minorHAnsi"/>
          <w:lang w:eastAsia="en-US"/>
        </w:rPr>
        <w:t>Ртищевской</w:t>
      </w:r>
      <w:proofErr w:type="spellEnd"/>
      <w:r>
        <w:rPr>
          <w:rFonts w:eastAsiaTheme="minorHAnsi"/>
          <w:lang w:eastAsia="en-US"/>
        </w:rPr>
        <w:t xml:space="preserve"> межрайонной прокуратуры.</w:t>
      </w: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</w:p>
    <w:p w:rsidR="0024027B" w:rsidRDefault="0024027B" w:rsidP="0024027B">
      <w:pPr>
        <w:spacing w:after="160" w:line="256" w:lineRule="auto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5.Продолжить в образовательных организациях:</w:t>
      </w:r>
    </w:p>
    <w:p w:rsidR="0024027B" w:rsidRDefault="0024027B" w:rsidP="0024027B">
      <w:pPr>
        <w:spacing w:after="160" w:line="25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-просветительскую работу среди обучающихся, направленную на повышение уровня их правовой грамотности, в том числе по вопросам юридической ответственности за распространение идеологии движений деструктивной направленности, непосредственное и косвенное участие в их деятельности с привлечением муниципального координатора проекта «Навигаторы детства» и местного отделения Российского движения детей и молодежи «Движение Первых»;</w:t>
      </w:r>
    </w:p>
    <w:p w:rsidR="0024027B" w:rsidRDefault="0024027B" w:rsidP="0024027B">
      <w:pPr>
        <w:spacing w:after="160" w:line="25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-деятельность, направленную на распространение позитивного контента в сети Интернет, отвечающего современным тенденциям в информационном пространстве;</w:t>
      </w:r>
    </w:p>
    <w:p w:rsidR="0024027B" w:rsidRDefault="0024027B" w:rsidP="0024027B">
      <w:pPr>
        <w:spacing w:after="160" w:line="25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-постоянный обмен информацией между образовательными организациями и МО МВД России «</w:t>
      </w:r>
      <w:proofErr w:type="spellStart"/>
      <w:r>
        <w:rPr>
          <w:rFonts w:eastAsiaTheme="minorHAnsi"/>
          <w:lang w:eastAsia="en-US"/>
        </w:rPr>
        <w:t>Ртищевский</w:t>
      </w:r>
      <w:proofErr w:type="spellEnd"/>
      <w:r>
        <w:rPr>
          <w:rFonts w:eastAsiaTheme="minorHAnsi"/>
          <w:lang w:eastAsia="en-US"/>
        </w:rPr>
        <w:t xml:space="preserve">» о несовершеннолетних, в отношении которых проводится индивидуальная профилактическая работа, а также о выявлении несовершеннолетних обучающихся с рисками </w:t>
      </w:r>
      <w:proofErr w:type="spellStart"/>
      <w:r>
        <w:rPr>
          <w:rFonts w:eastAsiaTheme="minorHAnsi"/>
          <w:lang w:eastAsia="en-US"/>
        </w:rPr>
        <w:t>девиантного</w:t>
      </w:r>
      <w:proofErr w:type="spellEnd"/>
      <w:r>
        <w:rPr>
          <w:rFonts w:eastAsiaTheme="minorHAnsi"/>
          <w:lang w:eastAsia="en-US"/>
        </w:rPr>
        <w:t xml:space="preserve"> поведения.</w:t>
      </w:r>
    </w:p>
    <w:p w:rsidR="0024027B" w:rsidRDefault="0024027B" w:rsidP="0024027B">
      <w:pPr>
        <w:spacing w:after="160" w:line="256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-обеспечить системную работу с семьями обучающихся в целях повышения роли семьи в воспитании и профилактике деструктивного поведения несовершеннолетних (информацию о проделанной работе предоставить в срок до 01.04.2025 года).</w:t>
      </w:r>
    </w:p>
    <w:p w:rsidR="0024027B" w:rsidRDefault="0024027B" w:rsidP="0024027B">
      <w:pPr>
        <w:spacing w:after="160" w:line="25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D70329" w:rsidRPr="0024027B" w:rsidRDefault="00D70329"/>
    <w:sectPr w:rsidR="00D70329" w:rsidRPr="0024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27"/>
    <w:rsid w:val="0024027B"/>
    <w:rsid w:val="00836F27"/>
    <w:rsid w:val="00D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21ED-C4CC-43DE-9487-0C37A30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2025-01-31T04:16:00Z</dcterms:created>
  <dcterms:modified xsi:type="dcterms:W3CDTF">2025-01-31T04:17:00Z</dcterms:modified>
</cp:coreProperties>
</file>